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DC0580" w:rsidRPr="00317D75" w14:paraId="6E3F384A" w14:textId="77777777" w:rsidTr="00D172C3">
        <w:trPr>
          <w:trHeight w:val="736"/>
        </w:trPr>
        <w:tc>
          <w:tcPr>
            <w:tcW w:w="4810" w:type="dxa"/>
          </w:tcPr>
          <w:p w14:paraId="3F6D6955" w14:textId="77777777" w:rsidR="00DC0580" w:rsidRPr="00317D75" w:rsidRDefault="00DC0580" w:rsidP="00D172C3">
            <w:pPr>
              <w:tabs>
                <w:tab w:val="left" w:pos="993"/>
                <w:tab w:val="left" w:pos="1134"/>
              </w:tabs>
              <w:spacing w:after="120" w:line="240" w:lineRule="auto"/>
              <w:jc w:val="center"/>
              <w:rPr>
                <w:rFonts w:ascii="Times New Roman" w:hAnsi="Times New Roman" w:cs="Times New Roman"/>
                <w:spacing w:val="-4"/>
                <w:sz w:val="28"/>
                <w:szCs w:val="28"/>
              </w:rPr>
            </w:pPr>
            <w:r w:rsidRPr="00317D75">
              <w:rPr>
                <w:rFonts w:ascii="Times New Roman" w:hAnsi="Times New Roman" w:cs="Times New Roman"/>
                <w:spacing w:val="-4"/>
                <w:sz w:val="28"/>
                <w:szCs w:val="28"/>
              </w:rPr>
              <w:t>NGÂN HÀNG NHÀ NƯỚC VIỆT NAM</w:t>
            </w:r>
          </w:p>
          <w:p w14:paraId="636EB5F2" w14:textId="77777777" w:rsidR="00DC0580" w:rsidRPr="00317D75" w:rsidRDefault="00DC0580" w:rsidP="00D172C3">
            <w:pPr>
              <w:widowControl w:val="0"/>
              <w:spacing w:after="120" w:line="240" w:lineRule="auto"/>
              <w:jc w:val="center"/>
              <w:rPr>
                <w:rFonts w:ascii="Times New Roman" w:eastAsia="MS Mincho" w:hAnsi="Times New Roman" w:cs="Times New Roman"/>
                <w:b/>
                <w:bCs/>
                <w:color w:val="000000"/>
                <w:sz w:val="28"/>
                <w:szCs w:val="28"/>
              </w:rPr>
            </w:pPr>
            <w:r w:rsidRPr="00317D75">
              <w:rPr>
                <w:rFonts w:ascii="Times New Roman" w:eastAsia="MS Mincho" w:hAnsi="Times New Roman" w:cs="Times New Roman"/>
                <w:b/>
                <w:bCs/>
                <w:color w:val="000000"/>
                <w:sz w:val="28"/>
                <w:szCs w:val="28"/>
              </w:rPr>
              <w:t>VỤ PHÁP CHẾ</w:t>
            </w:r>
          </w:p>
          <w:p w14:paraId="2946FD7A" w14:textId="77777777" w:rsidR="00DC0580" w:rsidRPr="00317D75" w:rsidRDefault="00DC0580" w:rsidP="00D172C3">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A5F5E9B" wp14:editId="07BD0D32">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FA051"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14:paraId="2376EEC3" w14:textId="77777777" w:rsidR="00DC0580" w:rsidRPr="00317D75" w:rsidRDefault="00DC0580" w:rsidP="00D172C3">
            <w:pPr>
              <w:spacing w:after="0" w:line="240" w:lineRule="auto"/>
              <w:ind w:firstLine="280"/>
              <w:jc w:val="center"/>
              <w:rPr>
                <w:rFonts w:ascii="Times New Roman" w:hAnsi="Times New Roman" w:cs="Times New Roman"/>
                <w:bCs/>
                <w:sz w:val="28"/>
                <w:szCs w:val="28"/>
              </w:rPr>
            </w:pPr>
          </w:p>
        </w:tc>
        <w:tc>
          <w:tcPr>
            <w:tcW w:w="5680" w:type="dxa"/>
          </w:tcPr>
          <w:p w14:paraId="24B28695" w14:textId="77777777" w:rsidR="00DC0580" w:rsidRPr="00317D75" w:rsidRDefault="00DC0580" w:rsidP="00D172C3">
            <w:pPr>
              <w:spacing w:after="120" w:line="240" w:lineRule="auto"/>
              <w:ind w:firstLine="278"/>
              <w:jc w:val="center"/>
              <w:rPr>
                <w:rFonts w:ascii="Times New Roman" w:hAnsi="Times New Roman" w:cs="Times New Roman"/>
                <w:bCs/>
                <w:sz w:val="28"/>
                <w:szCs w:val="28"/>
              </w:rPr>
            </w:pPr>
            <w:r w:rsidRPr="00317D75">
              <w:rPr>
                <w:rFonts w:ascii="Times New Roman" w:hAnsi="Times New Roman" w:cs="Times New Roman"/>
                <w:bCs/>
                <w:sz w:val="28"/>
                <w:szCs w:val="28"/>
              </w:rPr>
              <w:t>BỘ TƯ PHÁP</w:t>
            </w:r>
          </w:p>
          <w:p w14:paraId="6FE1D080" w14:textId="77777777" w:rsidR="00DC0580" w:rsidRPr="00317D75" w:rsidRDefault="00DC0580" w:rsidP="00D172C3">
            <w:pPr>
              <w:spacing w:after="120" w:line="240" w:lineRule="auto"/>
              <w:ind w:firstLine="278"/>
              <w:jc w:val="center"/>
              <w:rPr>
                <w:rFonts w:ascii="Times New Roman" w:hAnsi="Times New Roman" w:cs="Times New Roman"/>
                <w:b/>
                <w:bCs/>
                <w:sz w:val="28"/>
                <w:szCs w:val="28"/>
              </w:rPr>
            </w:pPr>
            <w:r w:rsidRPr="00317D75">
              <w:rPr>
                <w:rFonts w:ascii="Times New Roman" w:hAnsi="Times New Roman" w:cs="Times New Roman"/>
                <w:b/>
                <w:bCs/>
                <w:sz w:val="28"/>
                <w:szCs w:val="28"/>
              </w:rPr>
              <w:t>VỤ PHỔ BIẾN, GIÁO DỤC PHÁP LUẬT</w:t>
            </w:r>
          </w:p>
          <w:p w14:paraId="4508BE8D" w14:textId="77777777" w:rsidR="00DC0580" w:rsidRPr="00317D75" w:rsidRDefault="00DC0580" w:rsidP="00D172C3">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7AAFE312" wp14:editId="48A71450">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07CED" id="Straight Arrow Connector 2" o:spid="_x0000_s1026" type="#_x0000_t32" style="position:absolute;margin-left:85.25pt;margin-top:3.75pt;width:1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14:paraId="7B831165" w14:textId="77777777" w:rsidR="00DC0580" w:rsidRPr="00317D75" w:rsidRDefault="00DC0580" w:rsidP="00D172C3">
            <w:pPr>
              <w:spacing w:after="0" w:line="240" w:lineRule="auto"/>
              <w:ind w:firstLine="280"/>
              <w:jc w:val="center"/>
              <w:rPr>
                <w:rFonts w:ascii="Times New Roman" w:hAnsi="Times New Roman" w:cs="Times New Roman"/>
                <w:bCs/>
                <w:sz w:val="28"/>
                <w:szCs w:val="28"/>
              </w:rPr>
            </w:pPr>
          </w:p>
        </w:tc>
      </w:tr>
    </w:tbl>
    <w:p w14:paraId="56230CE9" w14:textId="77777777" w:rsidR="00DC0580" w:rsidRDefault="00DC0580" w:rsidP="00C01E9C">
      <w:pPr>
        <w:spacing w:before="120" w:after="120" w:line="240" w:lineRule="auto"/>
        <w:ind w:firstLine="720"/>
        <w:jc w:val="center"/>
        <w:rPr>
          <w:rFonts w:ascii="Times New Roman" w:hAnsi="Times New Roman" w:cs="Times New Roman"/>
          <w:b/>
          <w:sz w:val="28"/>
          <w:szCs w:val="28"/>
        </w:rPr>
      </w:pPr>
    </w:p>
    <w:p w14:paraId="0F0B86FC" w14:textId="77777777" w:rsidR="00C01E9C" w:rsidRDefault="002F6D50" w:rsidP="00C01E9C">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TÀI LIỆU GIỚI THIỆU </w:t>
      </w:r>
      <w:r w:rsidR="00DC0580">
        <w:rPr>
          <w:rFonts w:ascii="Times New Roman" w:hAnsi="Times New Roman" w:cs="Times New Roman"/>
          <w:b/>
          <w:sz w:val="28"/>
          <w:szCs w:val="28"/>
        </w:rPr>
        <w:t xml:space="preserve">NỘI DUNG CƠ BẢN </w:t>
      </w:r>
      <w:r>
        <w:rPr>
          <w:rFonts w:ascii="Times New Roman" w:hAnsi="Times New Roman" w:cs="Times New Roman"/>
          <w:b/>
          <w:sz w:val="28"/>
          <w:szCs w:val="28"/>
        </w:rPr>
        <w:t xml:space="preserve">LUẬT ĐIỆN LỰC </w:t>
      </w:r>
    </w:p>
    <w:p w14:paraId="39E05153" w14:textId="48461C55" w:rsidR="005821C6" w:rsidRDefault="002F6D50" w:rsidP="00C01E9C">
      <w:pPr>
        <w:spacing w:before="120" w:after="120" w:line="240" w:lineRule="auto"/>
        <w:ind w:firstLine="720"/>
        <w:jc w:val="center"/>
        <w:rPr>
          <w:rFonts w:ascii="Times New Roman" w:hAnsi="Times New Roman" w:cs="Times New Roman"/>
          <w:i/>
          <w:sz w:val="28"/>
          <w:szCs w:val="28"/>
        </w:rPr>
      </w:pPr>
      <w:r>
        <w:rPr>
          <w:rFonts w:ascii="Times New Roman" w:hAnsi="Times New Roman" w:cs="Times New Roman"/>
          <w:b/>
          <w:sz w:val="28"/>
          <w:szCs w:val="28"/>
        </w:rPr>
        <w:t>SỐ 61/2024/QH15</w:t>
      </w:r>
    </w:p>
    <w:p w14:paraId="2B3A526A" w14:textId="77777777" w:rsidR="00C01E9C" w:rsidRDefault="00C01E9C" w:rsidP="00DC0580">
      <w:pPr>
        <w:spacing w:before="120" w:after="120" w:line="360" w:lineRule="auto"/>
        <w:ind w:firstLine="720"/>
        <w:jc w:val="both"/>
        <w:rPr>
          <w:rFonts w:ascii="Times New Roman" w:hAnsi="Times New Roman" w:cs="Times New Roman"/>
          <w:color w:val="000000" w:themeColor="text1"/>
          <w:sz w:val="28"/>
          <w:szCs w:val="28"/>
          <w:shd w:val="clear" w:color="auto" w:fill="FFFFFF"/>
        </w:rPr>
      </w:pPr>
    </w:p>
    <w:p w14:paraId="2E70139B" w14:textId="438CBE5E" w:rsidR="00490DDC" w:rsidRPr="00DC0580" w:rsidRDefault="00DC0580" w:rsidP="00DC0580">
      <w:pPr>
        <w:spacing w:before="120" w:after="120" w:line="360" w:lineRule="auto"/>
        <w:ind w:firstLine="720"/>
        <w:jc w:val="both"/>
        <w:rPr>
          <w:rFonts w:ascii="Times New Roman" w:eastAsia="Calibri" w:hAnsi="Times New Roman" w:cs="Times New Roman"/>
          <w:b/>
          <w:noProof/>
          <w:color w:val="000000" w:themeColor="text1"/>
          <w:sz w:val="28"/>
          <w:szCs w:val="28"/>
          <w:lang w:val="es-MX"/>
        </w:rPr>
      </w:pPr>
      <w:bookmarkStart w:id="0" w:name="_GoBack"/>
      <w:bookmarkEnd w:id="0"/>
      <w:r w:rsidRPr="00DC0580">
        <w:rPr>
          <w:rFonts w:ascii="Times New Roman" w:hAnsi="Times New Roman" w:cs="Times New Roman"/>
          <w:color w:val="000000" w:themeColor="text1"/>
          <w:sz w:val="28"/>
          <w:szCs w:val="28"/>
          <w:shd w:val="clear" w:color="auto" w:fill="FFFFFF"/>
        </w:rPr>
        <w:t xml:space="preserve">Ngày 30/11/2024, tại Kỳ họp thứ 8, Quốc hội khóa XV đã thông qua Luật Điện lực </w:t>
      </w:r>
      <w:r>
        <w:rPr>
          <w:rFonts w:ascii="Times New Roman" w:hAnsi="Times New Roman" w:cs="Times New Roman"/>
          <w:color w:val="000000" w:themeColor="text1"/>
          <w:sz w:val="28"/>
          <w:szCs w:val="28"/>
          <w:shd w:val="clear" w:color="auto" w:fill="FFFFFF"/>
        </w:rPr>
        <w:t>số</w:t>
      </w:r>
      <w:r w:rsidRPr="00DC0580">
        <w:rPr>
          <w:rFonts w:ascii="Times New Roman" w:hAnsi="Times New Roman" w:cs="Times New Roman"/>
          <w:color w:val="000000" w:themeColor="text1"/>
          <w:sz w:val="28"/>
          <w:szCs w:val="28"/>
          <w:shd w:val="clear" w:color="auto" w:fill="FFFFFF"/>
        </w:rPr>
        <w:t xml:space="preserve"> 61/2024/QH15, Luật có hiệu lực từ ngày 01/02/2025.</w:t>
      </w:r>
      <w:r w:rsidRPr="00DC0580">
        <w:rPr>
          <w:rStyle w:val="uv3um"/>
          <w:rFonts w:ascii="Times New Roman" w:hAnsi="Times New Roman" w:cs="Times New Roman"/>
          <w:color w:val="000000" w:themeColor="text1"/>
          <w:sz w:val="28"/>
          <w:szCs w:val="28"/>
          <w:shd w:val="clear" w:color="auto" w:fill="FFFFFF"/>
        </w:rPr>
        <w:t> </w:t>
      </w:r>
      <w:r w:rsidRPr="00DC0580">
        <w:rPr>
          <w:rFonts w:ascii="Times New Roman" w:hAnsi="Times New Roman" w:cs="Times New Roman"/>
          <w:color w:val="000000" w:themeColor="text1"/>
          <w:sz w:val="28"/>
          <w:szCs w:val="28"/>
        </w:rPr>
        <w:t>Luật Điện lực</w:t>
      </w:r>
      <w:r w:rsidRPr="00DC0580">
        <w:rPr>
          <w:rFonts w:ascii="Times New Roman" w:eastAsia="Calibri" w:hAnsi="Times New Roman" w:cs="Times New Roman"/>
          <w:noProof/>
          <w:color w:val="000000" w:themeColor="text1"/>
          <w:spacing w:val="-8"/>
          <w:sz w:val="28"/>
          <w:szCs w:val="28"/>
          <w:lang w:val="sv-SE"/>
        </w:rPr>
        <w:t xml:space="preserve"> </w:t>
      </w:r>
      <w:r w:rsidRPr="00DC0580">
        <w:rPr>
          <w:rFonts w:ascii="Times New Roman" w:hAnsi="Times New Roman" w:cs="Times New Roman"/>
          <w:color w:val="000000" w:themeColor="text1"/>
          <w:sz w:val="28"/>
          <w:szCs w:val="28"/>
          <w:lang w:val="nl-NL"/>
        </w:rPr>
        <w:t xml:space="preserve">được ban hành </w:t>
      </w:r>
      <w:r w:rsidRPr="00DC0580">
        <w:rPr>
          <w:rFonts w:ascii="Times New Roman" w:eastAsia="Calibri" w:hAnsi="Times New Roman" w:cs="Times New Roman"/>
          <w:noProof/>
          <w:color w:val="000000" w:themeColor="text1"/>
          <w:spacing w:val="-8"/>
          <w:sz w:val="28"/>
          <w:szCs w:val="28"/>
          <w:lang w:val="sv-SE"/>
        </w:rPr>
        <w:t>có những nội dung cơ bản như sau:</w:t>
      </w:r>
      <w:r w:rsidR="00490DDC" w:rsidRPr="00DC0580">
        <w:rPr>
          <w:rFonts w:ascii="Times New Roman" w:hAnsi="Times New Roman" w:cs="Times New Roman"/>
          <w:color w:val="000000" w:themeColor="text1"/>
          <w:sz w:val="28"/>
          <w:szCs w:val="28"/>
        </w:rPr>
        <w:t xml:space="preserve">                                </w:t>
      </w:r>
    </w:p>
    <w:p w14:paraId="3D72108F" w14:textId="76A1F8C6" w:rsidR="00A50F01" w:rsidRPr="00A50F01" w:rsidRDefault="00A50F01" w:rsidP="00DC0580">
      <w:pPr>
        <w:widowControl w:val="0"/>
        <w:spacing w:before="120" w:after="120" w:line="360" w:lineRule="auto"/>
        <w:ind w:firstLine="567"/>
        <w:jc w:val="both"/>
        <w:rPr>
          <w:rFonts w:ascii="Times New Roman" w:hAnsi="Times New Roman" w:cs="Times New Roman"/>
          <w:b/>
          <w:bCs/>
          <w:sz w:val="28"/>
          <w:szCs w:val="28"/>
        </w:rPr>
      </w:pPr>
      <w:r w:rsidRPr="00A50F01">
        <w:rPr>
          <w:rFonts w:ascii="Times New Roman" w:hAnsi="Times New Roman" w:cs="Times New Roman"/>
          <w:b/>
          <w:bCs/>
          <w:sz w:val="28"/>
          <w:szCs w:val="28"/>
        </w:rPr>
        <w:t>I. Cơ sở pháp lý, cơ sở thực tiễn ban hành Luật Điện lực số 61/2024/QH15</w:t>
      </w:r>
    </w:p>
    <w:p w14:paraId="5981F276" w14:textId="039670CD" w:rsidR="006C0E60" w:rsidRPr="006C0E60" w:rsidRDefault="00422787" w:rsidP="00DC0580">
      <w:pPr>
        <w:widowControl w:val="0"/>
        <w:spacing w:before="120" w:after="120" w:line="360" w:lineRule="auto"/>
        <w:ind w:firstLine="567"/>
        <w:jc w:val="both"/>
        <w:rPr>
          <w:rFonts w:ascii="Times New Roman" w:hAnsi="Times New Roman" w:cs="Times New Roman"/>
          <w:sz w:val="28"/>
          <w:szCs w:val="28"/>
        </w:rPr>
      </w:pPr>
      <w:r w:rsidRPr="006C0E60">
        <w:rPr>
          <w:rFonts w:ascii="Times New Roman" w:hAnsi="Times New Roman" w:cs="Times New Roman"/>
          <w:sz w:val="28"/>
          <w:szCs w:val="28"/>
        </w:rPr>
        <w:t xml:space="preserve">Luật Điện lực số 28/2004/QH11 qua 04 lần sửa đổi, bổ sung vào các năm 2012, 2018, 2022 và 2023 đã tạo cơ sở pháp lý cho việc thực hiện hiệu quả  hoạt động điện lực trong gần 20 năm qua, góp phần phát triển kinh tế – xã hội, bảo đảm an ninh năng lượng quốc gia, đáp ứng đủ nhu cầu sử dụng điện ngày càng cao trên toàn quốc. </w:t>
      </w:r>
    </w:p>
    <w:p w14:paraId="5F458FA2" w14:textId="0A2EC7AA" w:rsidR="00422787" w:rsidRPr="006C0E60" w:rsidRDefault="006C0E60" w:rsidP="00DC0580">
      <w:pPr>
        <w:widowControl w:val="0"/>
        <w:spacing w:before="120" w:after="120" w:line="36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rPr>
        <w:t>Tuy nhiên, s</w:t>
      </w:r>
      <w:r w:rsidR="00422787" w:rsidRPr="006C0E60">
        <w:rPr>
          <w:rFonts w:ascii="Times New Roman" w:hAnsi="Times New Roman" w:cs="Times New Roman"/>
          <w:sz w:val="28"/>
          <w:szCs w:val="28"/>
        </w:rPr>
        <w:t>au khi Luật Điện lực năm 2004 có hiệu lực, nhiều chủ trương, chính sách mới của Đảng và Nhà nước liên quan đến phát triển năng lượng quốc gia của Việt Nam (trong đó có lĩnh vực điện lực) được ban hành, cụ thể:</w:t>
      </w:r>
    </w:p>
    <w:p w14:paraId="1521BAE2" w14:textId="57B8CA2F" w:rsidR="006C0E60" w:rsidRPr="001175FB"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lang w:val="vi-VN"/>
        </w:rPr>
        <w:t>- Nghị quyết số 55-NQ/TW ngày 11 tháng 02 năm 2020 của Bộ Chính trị về định hướng Chiến lược phát triển năng lượng quốc gia của Việt Nam đến năm 2030, tầm nhìn đến năm 2045</w:t>
      </w:r>
      <w:r w:rsidR="001175FB">
        <w:rPr>
          <w:rFonts w:ascii="Times New Roman" w:hAnsi="Times New Roman" w:cs="Times New Roman"/>
          <w:sz w:val="28"/>
          <w:szCs w:val="28"/>
        </w:rPr>
        <w:t xml:space="preserve">; </w:t>
      </w:r>
    </w:p>
    <w:p w14:paraId="0FB21CB3" w14:textId="6AD035C7" w:rsidR="00422787" w:rsidRPr="006C0E60"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xml:space="preserve">- </w:t>
      </w:r>
      <w:r w:rsidRPr="006C0E60">
        <w:rPr>
          <w:rFonts w:ascii="Times New Roman" w:hAnsi="Times New Roman" w:cs="Times New Roman"/>
          <w:sz w:val="28"/>
          <w:szCs w:val="28"/>
          <w:shd w:val="clear" w:color="auto" w:fill="FFFFFF"/>
          <w:lang w:val="eu-ES"/>
        </w:rPr>
        <w:t>Nghị quyết số 50-NQ/TW ngày 20/8/2019 của Bộ Chính trị về định hướng hoàn thiện thể chế, chính sách, nâng cao chất lượng, hiệu quả hợp tác đầu tư nước ngoài đến năm 2030</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w:t>
      </w:r>
    </w:p>
    <w:p w14:paraId="3F03A923" w14:textId="282EE628" w:rsidR="00422787" w:rsidRPr="006C0E60"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pt-BR"/>
        </w:rPr>
        <w:t xml:space="preserve">- </w:t>
      </w:r>
      <w:r w:rsidRPr="006C0E60">
        <w:rPr>
          <w:rFonts w:ascii="Times New Roman" w:hAnsi="Times New Roman" w:cs="Times New Roman"/>
          <w:sz w:val="28"/>
          <w:szCs w:val="28"/>
          <w:lang w:val="eu-ES"/>
        </w:rPr>
        <w:t xml:space="preserve">Hội nghị lần thứ tám Ban chấp hành Trung ương Đảng khóa XI đã ban hành Nghị quyết số 36-NQ/TW ngày 22 tháng 10 năm 2018 về Chiến lược phát triển </w:t>
      </w:r>
      <w:r w:rsidRPr="006C0E60">
        <w:rPr>
          <w:rFonts w:ascii="Times New Roman" w:hAnsi="Times New Roman" w:cs="Times New Roman"/>
          <w:sz w:val="28"/>
          <w:szCs w:val="28"/>
          <w:lang w:val="eu-ES"/>
        </w:rPr>
        <w:lastRenderedPageBreak/>
        <w:t>bền vững kinh tế biển Việt Nam đến năm 2030, tầm nhìn đến năm 2045</w:t>
      </w:r>
      <w:r w:rsidR="001175FB">
        <w:rPr>
          <w:rFonts w:ascii="Times New Roman" w:hAnsi="Times New Roman" w:cs="Times New Roman"/>
          <w:sz w:val="28"/>
          <w:szCs w:val="28"/>
          <w:lang w:val="eu-ES"/>
        </w:rPr>
        <w:t xml:space="preserve">; </w:t>
      </w:r>
    </w:p>
    <w:p w14:paraId="0A7C80B4" w14:textId="0BD699D1" w:rsidR="00422787" w:rsidRPr="006C0E60"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shd w:val="clear" w:color="auto" w:fill="FFFFFF"/>
          <w:lang w:val="eu-ES"/>
        </w:rPr>
        <w:t xml:space="preserve">- </w:t>
      </w:r>
      <w:r w:rsidR="001175FB" w:rsidRPr="006C0E60">
        <w:rPr>
          <w:rFonts w:ascii="Times New Roman" w:hAnsi="Times New Roman" w:cs="Times New Roman"/>
          <w:sz w:val="28"/>
          <w:szCs w:val="28"/>
          <w:shd w:val="clear" w:color="auto" w:fill="FFFFFF"/>
          <w:lang w:val="eu-ES"/>
        </w:rPr>
        <w:t xml:space="preserve">Nghị quyết số 99/NQ-CP ngày 30 tháng 8 năm 2021 </w:t>
      </w:r>
      <w:r w:rsidR="001175FB">
        <w:rPr>
          <w:rFonts w:ascii="Times New Roman" w:hAnsi="Times New Roman" w:cs="Times New Roman"/>
          <w:sz w:val="28"/>
          <w:szCs w:val="28"/>
          <w:shd w:val="clear" w:color="auto" w:fill="FFFFFF"/>
          <w:lang w:val="eu-ES"/>
        </w:rPr>
        <w:t xml:space="preserve">của Chính phủ </w:t>
      </w:r>
      <w:r w:rsidR="001175FB" w:rsidRPr="006C0E60">
        <w:rPr>
          <w:rFonts w:ascii="Times New Roman" w:hAnsi="Times New Roman" w:cs="Times New Roman"/>
          <w:sz w:val="28"/>
          <w:szCs w:val="28"/>
          <w:shd w:val="clear" w:color="auto" w:fill="FFFFFF"/>
          <w:lang w:val="eu-ES"/>
        </w:rPr>
        <w:t xml:space="preserve">ban hành Chương trình hành động của Chính phủ nhiệm kỳ 2021 - 2026 thực hiện Nghị quyết của Quốc hội về Kế hoạch phát triển kinh tế - xã hội 5 năm 2021 </w:t>
      </w:r>
      <w:r w:rsidR="001175FB">
        <w:rPr>
          <w:rFonts w:ascii="Times New Roman" w:hAnsi="Times New Roman" w:cs="Times New Roman"/>
          <w:sz w:val="28"/>
          <w:szCs w:val="28"/>
          <w:shd w:val="clear" w:color="auto" w:fill="FFFFFF"/>
          <w:lang w:val="eu-ES"/>
        </w:rPr>
        <w:t>–</w:t>
      </w:r>
      <w:r w:rsidR="001175FB"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t</w:t>
      </w:r>
      <w:r w:rsidRPr="006C0E60">
        <w:rPr>
          <w:rFonts w:ascii="Times New Roman" w:hAnsi="Times New Roman" w:cs="Times New Roman"/>
          <w:sz w:val="28"/>
          <w:szCs w:val="28"/>
          <w:shd w:val="clear" w:color="auto" w:fill="FFFFFF"/>
          <w:lang w:val="eu-ES"/>
        </w:rPr>
        <w:t xml:space="preserve">riển khai Nghị quyết số 16/2021/QH15 ngày 27 tháng 7 năm 2021 của Quốc hội về kế hoạch phát triển kinh tế xã hội 5 năm 2021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w:t>
      </w:r>
      <w:r w:rsidRPr="006C0E60">
        <w:rPr>
          <w:rFonts w:ascii="Times New Roman" w:hAnsi="Times New Roman" w:cs="Times New Roman"/>
          <w:sz w:val="28"/>
          <w:szCs w:val="28"/>
          <w:shd w:val="clear" w:color="auto" w:fill="FFFFFF"/>
          <w:lang w:val="eu-ES"/>
        </w:rPr>
        <w:t>Nghị quyết đã nêu “</w:t>
      </w:r>
      <w:r w:rsidRPr="001175FB">
        <w:rPr>
          <w:rFonts w:ascii="Times New Roman" w:hAnsi="Times New Roman" w:cs="Times New Roman"/>
          <w:i/>
          <w:iCs/>
          <w:sz w:val="28"/>
          <w:szCs w:val="28"/>
          <w:shd w:val="clear" w:color="auto" w:fill="FFFFFF"/>
          <w:lang w:val="eu-ES"/>
        </w:rPr>
        <w:t>Đẩy mạnh rà soát, bổ sung, hoàn thiện các quy định pháp luật không còn phù hợp, chồng chéo, chưa đầy đủ hoặc vướng mắc, nhất là về quy hoạch, đầu tư, kinh doanh, đất đai, tài chính, ngân sách, tài sản công, thuế... theo hướng vướng mắc ở cấp, ngành nào thì cấp, ngành đó chủ động, tích cực sửa đổi, hoàn thiện</w:t>
      </w:r>
      <w:r w:rsidRPr="006C0E60">
        <w:rPr>
          <w:rFonts w:ascii="Times New Roman" w:hAnsi="Times New Roman" w:cs="Times New Roman"/>
          <w:sz w:val="28"/>
          <w:szCs w:val="28"/>
          <w:shd w:val="clear" w:color="auto" w:fill="FFFFFF"/>
          <w:lang w:val="eu-ES"/>
        </w:rPr>
        <w:t xml:space="preserve">;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w:t>
      </w:r>
    </w:p>
    <w:p w14:paraId="65623CD3" w14:textId="6508EA8D" w:rsidR="00422787" w:rsidRPr="006C0E60"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Nghị quyết số 937/NQ-UBTVQH15 ngày 13 tháng 12 năm 2023 của Ủy ban Thường vụ Quốc hội về giám sát chuyên đề về việc thực hiện chính sách, pháp luật về phát triển năng lượng giai đoạn 2016 - 2021 đã đặt ra nhiệm vụ, giải pháp về việc cần có cơ chế giá điện phù hợp trong việc xuất, nhập khẩu điện đối với các nước trong khu vực và “</w:t>
      </w:r>
      <w:r w:rsidRPr="001175FB">
        <w:rPr>
          <w:rFonts w:ascii="Times New Roman" w:hAnsi="Times New Roman" w:cs="Times New Roman"/>
          <w:i/>
          <w:iCs/>
          <w:sz w:val="28"/>
          <w:szCs w:val="28"/>
          <w:lang w:val="eu-ES"/>
        </w:rPr>
        <w:t>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w:t>
      </w:r>
      <w:r w:rsidRPr="006C0E60">
        <w:rPr>
          <w:rFonts w:ascii="Times New Roman" w:hAnsi="Times New Roman" w:cs="Times New Roman"/>
          <w:sz w:val="28"/>
          <w:szCs w:val="28"/>
          <w:lang w:val="eu-ES"/>
        </w:rPr>
        <w:t xml:space="preserve">”. </w:t>
      </w:r>
    </w:p>
    <w:p w14:paraId="04C456C7" w14:textId="77777777" w:rsidR="00422787" w:rsidRDefault="00422787" w:rsidP="00DC0580">
      <w:pPr>
        <w:widowControl w:val="0"/>
        <w:adjustRightInd w:val="0"/>
        <w:snapToGrid w:val="0"/>
        <w:spacing w:before="120" w:after="120" w:line="360" w:lineRule="auto"/>
        <w:ind w:firstLine="567"/>
        <w:jc w:val="both"/>
        <w:rPr>
          <w:rFonts w:ascii="Times New Roman" w:hAnsi="Times New Roman" w:cs="Times New Roman"/>
          <w:sz w:val="28"/>
          <w:szCs w:val="28"/>
        </w:rPr>
      </w:pPr>
      <w:r w:rsidRPr="006C0E60">
        <w:rPr>
          <w:rFonts w:ascii="Times New Roman" w:hAnsi="Times New Roman" w:cs="Times New Roman"/>
          <w:sz w:val="28"/>
          <w:szCs w:val="28"/>
          <w:lang w:val="vi-VN"/>
        </w:rPr>
        <w:t xml:space="preserve">- Kết luận số 76-KL/TW ngày 24 tháng 4 năm 2024 của Bộ Chính trị (văn bản mật) </w:t>
      </w:r>
      <w:r w:rsidRPr="006C0E60">
        <w:rPr>
          <w:rFonts w:ascii="Times New Roman" w:hAnsi="Times New Roman" w:cs="Times New Roman"/>
          <w:sz w:val="28"/>
          <w:szCs w:val="28"/>
          <w:lang w:val="eu-ES"/>
        </w:rPr>
        <w:t>về tình hình thực hiện Nghị quyết số 41-NQ/TW ngày 23</w:t>
      </w:r>
      <w:r w:rsidRPr="006C0E60">
        <w:rPr>
          <w:rFonts w:ascii="Times New Roman" w:hAnsi="Times New Roman" w:cs="Times New Roman"/>
          <w:sz w:val="28"/>
          <w:szCs w:val="28"/>
          <w:lang w:val="vi-VN"/>
        </w:rPr>
        <w:t xml:space="preserve"> tháng </w:t>
      </w:r>
      <w:r w:rsidRPr="006C0E60">
        <w:rPr>
          <w:rFonts w:ascii="Times New Roman" w:hAnsi="Times New Roman" w:cs="Times New Roman"/>
          <w:sz w:val="28"/>
          <w:szCs w:val="28"/>
          <w:lang w:val="eu-ES"/>
        </w:rPr>
        <w:t>7</w:t>
      </w:r>
      <w:r w:rsidRPr="006C0E60">
        <w:rPr>
          <w:rFonts w:ascii="Times New Roman" w:hAnsi="Times New Roman" w:cs="Times New Roman"/>
          <w:sz w:val="28"/>
          <w:szCs w:val="28"/>
          <w:lang w:val="vi-VN"/>
        </w:rPr>
        <w:t xml:space="preserve"> năm </w:t>
      </w:r>
      <w:r w:rsidRPr="006C0E60">
        <w:rPr>
          <w:rFonts w:ascii="Times New Roman" w:hAnsi="Times New Roman" w:cs="Times New Roman"/>
          <w:sz w:val="28"/>
          <w:szCs w:val="28"/>
          <w:lang w:val="eu-ES"/>
        </w:rPr>
        <w:t>2015 của Bộ Chính trị về định hướng Chiến lược phát triển ngành Dầu khí Việt Nam đến năm 2025, tầm nhìn đến năm 2035 và một số định hướng cho giai đoạn mới</w:t>
      </w:r>
      <w:r w:rsidRPr="006C0E60">
        <w:rPr>
          <w:rFonts w:ascii="Times New Roman" w:hAnsi="Times New Roman" w:cs="Times New Roman"/>
          <w:sz w:val="28"/>
          <w:szCs w:val="28"/>
          <w:lang w:val="vi-VN"/>
        </w:rPr>
        <w:t>.</w:t>
      </w:r>
    </w:p>
    <w:p w14:paraId="7269986B" w14:textId="6DB2C3BF" w:rsidR="001175FB" w:rsidRPr="001175FB" w:rsidRDefault="001175FB" w:rsidP="00DC0580">
      <w:pPr>
        <w:widowControl w:val="0"/>
        <w:adjustRightInd w:val="0"/>
        <w:snapToGrid w:val="0"/>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Bên cạnh đó, bối cảnh khu vực và thế giới đã có nhiều thay đổi, đặc biệt sau Hội nghị các bên tham gia Công ước khung của Liên Hợp Quốc về biến đổi khí hậu (COP26).</w:t>
      </w:r>
    </w:p>
    <w:p w14:paraId="4CDD86F4" w14:textId="77777777" w:rsidR="00A836C4" w:rsidRPr="00A836C4" w:rsidRDefault="001175FB"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Cùng với đó</w:t>
      </w:r>
      <w:r>
        <w:rPr>
          <w:lang w:val="nl-NL"/>
        </w:rPr>
        <w:t xml:space="preserve">, </w:t>
      </w:r>
      <w:r w:rsidRPr="00F14D19">
        <w:rPr>
          <w:lang w:val="nl-NL"/>
        </w:rPr>
        <w:t xml:space="preserve"> </w:t>
      </w:r>
      <w:r w:rsidRPr="001175FB">
        <w:rPr>
          <w:rFonts w:ascii="Times New Roman" w:hAnsi="Times New Roman" w:cs="Times New Roman"/>
          <w:sz w:val="28"/>
          <w:szCs w:val="28"/>
          <w:lang w:val="eu-ES"/>
        </w:rPr>
        <w:t xml:space="preserve">thực tiễn thi hành pháp luật về điện lực cho thấy còn tồn tại một số vấn đề mà các quy định tại Luật Điện lực hiện hành chưa đáp ứng được, </w:t>
      </w:r>
      <w:r w:rsidRPr="001175FB">
        <w:rPr>
          <w:rFonts w:ascii="Times New Roman" w:hAnsi="Times New Roman" w:cs="Times New Roman"/>
          <w:sz w:val="28"/>
          <w:szCs w:val="28"/>
          <w:lang w:val="eu-ES"/>
        </w:rPr>
        <w:lastRenderedPageBreak/>
        <w:t>cần thiết phải sửa đổi, bổ sung nhằm đáp ứng mục tiêu triển khai các chính sách của Đảng đối với lĩnh vực năng lượng nói chung và điện lực nói riêng, đặc biệt là mục tiêu bảo đảm an ninh năng lượng quốc gia, tăng cường phân công, phân cấp, nâng cao hiệu lực quản lý nhà nước về điện lực, kịp thời điều chỉnh các quan hệ xã hội phát sinh trong thực tiễn hoạt động điện lực và sử dụng điện, đồng thời, giải quyết một số vướng mắc trong quá trình thi hành Luật Điện lực nhằm nâng cao hiệu quả quản lý nhà nước</w:t>
      </w:r>
      <w:r w:rsidRPr="006C0E60">
        <w:rPr>
          <w:rFonts w:ascii="Times New Roman" w:hAnsi="Times New Roman" w:cs="Times New Roman"/>
          <w:sz w:val="28"/>
          <w:szCs w:val="28"/>
          <w:lang w:val="eu-ES"/>
        </w:rPr>
        <w:t xml:space="preserve"> </w:t>
      </w:r>
      <w:r>
        <w:rPr>
          <w:rFonts w:ascii="Times New Roman" w:hAnsi="Times New Roman" w:cs="Times New Roman"/>
          <w:sz w:val="28"/>
          <w:szCs w:val="28"/>
          <w:lang w:val="eu-ES"/>
        </w:rPr>
        <w:t xml:space="preserve">như quy hoạch phát triển điện lực, </w:t>
      </w:r>
      <w:r w:rsidRPr="00A836C4">
        <w:rPr>
          <w:rFonts w:ascii="Times New Roman" w:hAnsi="Times New Roman" w:cs="Times New Roman"/>
          <w:sz w:val="28"/>
          <w:szCs w:val="28"/>
          <w:lang w:val="eu-ES"/>
        </w:rPr>
        <w:t>khuyến khích phát triển điện năng lượng tái tạo, năng lượng mới</w:t>
      </w:r>
      <w:r w:rsidR="00A836C4">
        <w:rPr>
          <w:rFonts w:ascii="Times New Roman" w:hAnsi="Times New Roman" w:cs="Times New Roman"/>
          <w:sz w:val="28"/>
          <w:szCs w:val="28"/>
          <w:lang w:val="eu-ES"/>
        </w:rPr>
        <w:t xml:space="preserve">; về </w:t>
      </w:r>
      <w:r w:rsidR="00A836C4" w:rsidRPr="00A836C4">
        <w:rPr>
          <w:rFonts w:ascii="Times New Roman" w:hAnsi="Times New Roman" w:cs="Times New Roman"/>
          <w:sz w:val="28"/>
          <w:szCs w:val="28"/>
          <w:lang w:val="eu-ES"/>
        </w:rPr>
        <w:t>điều kiện hoạt động điện lực; về giá điện theo cơ chế thị trường và hoạt động mua bán điện đảm bảo định hướng phát triển thị trường điện; về quản lý, vận hành hệ thống điện…</w:t>
      </w:r>
    </w:p>
    <w:p w14:paraId="3741C3DE" w14:textId="70533AD8" w:rsidR="00A836C4" w:rsidRDefault="00A836C4" w:rsidP="00DC0580">
      <w:pPr>
        <w:widowControl w:val="0"/>
        <w:adjustRightInd w:val="0"/>
        <w:snapToGrid w:val="0"/>
        <w:spacing w:before="120" w:after="120" w:line="36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Vì vậy, việc sửa đổi Luật Điện lực là cần thiết để đảm bảo các yêu cầu:</w:t>
      </w:r>
    </w:p>
    <w:p w14:paraId="28876451" w14:textId="6D2052B0" w:rsidR="00A836C4" w:rsidRPr="00A836C4" w:rsidRDefault="00A836C4" w:rsidP="00DC0580">
      <w:pPr>
        <w:pStyle w:val="ListParagraph"/>
        <w:widowControl w:val="0"/>
        <w:numPr>
          <w:ilvl w:val="0"/>
          <w:numId w:val="3"/>
        </w:numPr>
        <w:tabs>
          <w:tab w:val="left" w:pos="1134"/>
        </w:tabs>
        <w:adjustRightInd w:val="0"/>
        <w:snapToGrid w:val="0"/>
        <w:spacing w:before="120" w:after="120" w:line="360" w:lineRule="auto"/>
        <w:ind w:left="0" w:firstLine="567"/>
        <w:jc w:val="both"/>
        <w:rPr>
          <w:rFonts w:ascii="Times New Roman" w:hAnsi="Times New Roman" w:cs="Times New Roman"/>
          <w:sz w:val="28"/>
          <w:szCs w:val="28"/>
          <w:lang w:val="eu-ES"/>
        </w:rPr>
      </w:pPr>
      <w:r w:rsidRPr="00A836C4">
        <w:rPr>
          <w:rFonts w:ascii="Times New Roman" w:hAnsi="Times New Roman" w:cs="Times New Roman"/>
          <w:sz w:val="28"/>
          <w:szCs w:val="28"/>
          <w:lang w:val="eu-ES"/>
        </w:rPr>
        <w:t>Thể chế hóa đầy đủ, toàn diện các chủ trương, đường lối của Đảng, chính sách của Nhà nước;</w:t>
      </w:r>
    </w:p>
    <w:p w14:paraId="64BA3FFD" w14:textId="77777777" w:rsidR="00A836C4" w:rsidRDefault="00A836C4" w:rsidP="00DC0580">
      <w:pPr>
        <w:pStyle w:val="ListParagraph"/>
        <w:widowControl w:val="0"/>
        <w:numPr>
          <w:ilvl w:val="0"/>
          <w:numId w:val="3"/>
        </w:numPr>
        <w:tabs>
          <w:tab w:val="left" w:pos="1134"/>
        </w:tabs>
        <w:adjustRightInd w:val="0"/>
        <w:snapToGrid w:val="0"/>
        <w:spacing w:before="120" w:after="12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Tạo điều kiện cho phát triển nguồn và lưới điện nhằm đáp ứng nhu cầu sử dụng điện ngày càng cao của quốc gia, phát triển kinh tế – xã hội, góp phần bảo đảm quốc phòng, an ninh và an ninh năng lượng quốc gia;</w:t>
      </w:r>
    </w:p>
    <w:p w14:paraId="747B4413" w14:textId="77777777" w:rsidR="00A836C4" w:rsidRDefault="00A836C4" w:rsidP="00DC0580">
      <w:pPr>
        <w:pStyle w:val="ListParagraph"/>
        <w:widowControl w:val="0"/>
        <w:numPr>
          <w:ilvl w:val="0"/>
          <w:numId w:val="3"/>
        </w:numPr>
        <w:tabs>
          <w:tab w:val="left" w:pos="1134"/>
        </w:tabs>
        <w:adjustRightInd w:val="0"/>
        <w:snapToGrid w:val="0"/>
        <w:spacing w:before="120" w:after="12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Tăng cường tính minh bạch trong hoạt động điện lực, hướng tới xây dựng thị trường bán lẻ điện cạnh tranh hoàn chỉnh, trọng tâm là điều chỉnh cơ chế gía điện theo cơ chế thị trường có sự điều tiết của Nhà nước;</w:t>
      </w:r>
    </w:p>
    <w:p w14:paraId="15DA2819" w14:textId="77777777" w:rsidR="00A836C4" w:rsidRDefault="00A836C4" w:rsidP="00DC0580">
      <w:pPr>
        <w:pStyle w:val="ListParagraph"/>
        <w:widowControl w:val="0"/>
        <w:numPr>
          <w:ilvl w:val="0"/>
          <w:numId w:val="3"/>
        </w:numPr>
        <w:tabs>
          <w:tab w:val="left" w:pos="1134"/>
        </w:tabs>
        <w:adjustRightInd w:val="0"/>
        <w:snapToGrid w:val="0"/>
        <w:spacing w:before="120" w:after="12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Xử lý, tháo gỡ những hạn chế, vướng mắc trong quy định của pháp luật về điện lực, đồng thời không hợp thức hóa các sai phạm trong lĩnh vực điện lực;</w:t>
      </w:r>
    </w:p>
    <w:p w14:paraId="5A1E00D5" w14:textId="77777777" w:rsidR="00A50F01" w:rsidRDefault="00A836C4" w:rsidP="00DC0580">
      <w:pPr>
        <w:pStyle w:val="ListParagraph"/>
        <w:widowControl w:val="0"/>
        <w:numPr>
          <w:ilvl w:val="0"/>
          <w:numId w:val="3"/>
        </w:numPr>
        <w:tabs>
          <w:tab w:val="left" w:pos="1134"/>
        </w:tabs>
        <w:adjustRightInd w:val="0"/>
        <w:snapToGrid w:val="0"/>
        <w:spacing w:before="120" w:after="12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Thực hiện cải cách theo hướng hiệu lực, hiệu quả, phân cấp, phân định rõ chức năng, nhiệm vụ, giảm bớt các đầu mối trong quản lý nhà nước về điện lực</w:t>
      </w:r>
      <w:r w:rsidR="00A50F01">
        <w:rPr>
          <w:rFonts w:ascii="Times New Roman" w:hAnsi="Times New Roman" w:cs="Times New Roman"/>
          <w:sz w:val="28"/>
          <w:szCs w:val="28"/>
          <w:lang w:val="eu-ES"/>
        </w:rPr>
        <w:t>.</w:t>
      </w:r>
    </w:p>
    <w:p w14:paraId="5BC25C31" w14:textId="77777777" w:rsidR="00945632" w:rsidRDefault="00A50F01" w:rsidP="00DC0580">
      <w:pPr>
        <w:widowControl w:val="0"/>
        <w:spacing w:before="120" w:after="120" w:line="360" w:lineRule="auto"/>
        <w:ind w:right="141" w:firstLine="567"/>
        <w:jc w:val="both"/>
        <w:rPr>
          <w:rFonts w:ascii="Times New Roman" w:hAnsi="Times New Roman" w:cs="Times New Roman"/>
          <w:b/>
          <w:sz w:val="28"/>
          <w:szCs w:val="28"/>
        </w:rPr>
      </w:pPr>
      <w:r>
        <w:rPr>
          <w:rFonts w:ascii="Times New Roman" w:hAnsi="Times New Roman" w:cs="Times New Roman"/>
          <w:sz w:val="28"/>
          <w:szCs w:val="28"/>
        </w:rPr>
        <w:t xml:space="preserve">II. </w:t>
      </w:r>
      <w:r w:rsidR="00945632">
        <w:rPr>
          <w:rFonts w:ascii="Times New Roman" w:hAnsi="Times New Roman" w:cs="Times New Roman"/>
          <w:b/>
          <w:sz w:val="28"/>
          <w:szCs w:val="28"/>
        </w:rPr>
        <w:t>Các nội dung mới, nổi bật, trọng tâm của Luật Điện lực số 61/2024/QH15</w:t>
      </w:r>
    </w:p>
    <w:p w14:paraId="46B2D9C2" w14:textId="0C59B186" w:rsidR="00B132F0" w:rsidRPr="00945632" w:rsidRDefault="006A0FA0" w:rsidP="00DC0580">
      <w:pPr>
        <w:widowControl w:val="0"/>
        <w:spacing w:before="120" w:after="120" w:line="360" w:lineRule="auto"/>
        <w:ind w:right="141" w:firstLine="567"/>
        <w:jc w:val="both"/>
        <w:rPr>
          <w:rFonts w:ascii="Times New Roman" w:hAnsi="Times New Roman" w:cs="Times New Roman"/>
          <w:spacing w:val="-4"/>
          <w:sz w:val="28"/>
          <w:szCs w:val="28"/>
        </w:rPr>
      </w:pPr>
      <w:r w:rsidRPr="00C47BAD">
        <w:rPr>
          <w:rFonts w:ascii="Times New Roman" w:hAnsi="Times New Roman" w:cs="Times New Roman"/>
          <w:sz w:val="28"/>
          <w:szCs w:val="28"/>
        </w:rPr>
        <w:t>Ngày 30 tháng 11 năm 2024, tại Kỳ họp thứ 8</w:t>
      </w:r>
      <w:r w:rsidR="00490DDC">
        <w:rPr>
          <w:rFonts w:ascii="Times New Roman" w:hAnsi="Times New Roman" w:cs="Times New Roman"/>
          <w:sz w:val="28"/>
          <w:szCs w:val="28"/>
        </w:rPr>
        <w:t>,</w:t>
      </w:r>
      <w:r w:rsidRPr="00C47BAD">
        <w:rPr>
          <w:rFonts w:ascii="Times New Roman" w:hAnsi="Times New Roman" w:cs="Times New Roman"/>
          <w:sz w:val="28"/>
          <w:szCs w:val="28"/>
        </w:rPr>
        <w:t xml:space="preserve"> Quốc hội khóa XV đã biểu quyết thông qua Luật Điện lực (sửa đổi)</w:t>
      </w:r>
      <w:r w:rsidR="00A50F01">
        <w:rPr>
          <w:rFonts w:ascii="Times New Roman" w:hAnsi="Times New Roman" w:cs="Times New Roman"/>
          <w:sz w:val="28"/>
          <w:szCs w:val="28"/>
        </w:rPr>
        <w:t xml:space="preserve">. </w:t>
      </w:r>
    </w:p>
    <w:p w14:paraId="5658CCC7"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Luậ</w:t>
      </w:r>
      <w:r w:rsidR="008F06D7" w:rsidRPr="00C47BAD">
        <w:rPr>
          <w:rFonts w:ascii="Times New Roman" w:hAnsi="Times New Roman" w:cs="Times New Roman"/>
          <w:sz w:val="28"/>
          <w:szCs w:val="28"/>
        </w:rPr>
        <w:t xml:space="preserve">t </w:t>
      </w:r>
      <w:r w:rsidR="008F06D7">
        <w:rPr>
          <w:rFonts w:ascii="Times New Roman" w:hAnsi="Times New Roman" w:cs="Times New Roman"/>
          <w:sz w:val="28"/>
          <w:szCs w:val="28"/>
        </w:rPr>
        <w:t>Đ</w:t>
      </w:r>
      <w:r w:rsidR="008F06D7" w:rsidRPr="00C47BAD">
        <w:rPr>
          <w:rFonts w:ascii="Times New Roman" w:hAnsi="Times New Roman" w:cs="Times New Roman"/>
          <w:sz w:val="28"/>
          <w:szCs w:val="28"/>
        </w:rPr>
        <w:t>i</w:t>
      </w:r>
      <w:r w:rsidRPr="00C47BAD">
        <w:rPr>
          <w:rFonts w:ascii="Times New Roman" w:hAnsi="Times New Roman" w:cs="Times New Roman"/>
          <w:sz w:val="28"/>
          <w:szCs w:val="28"/>
        </w:rPr>
        <w:t>ện lực bao gồm 09 Chương và 81 Điều, cụ thể như sau:</w:t>
      </w:r>
    </w:p>
    <w:p w14:paraId="27B4DE50"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lastRenderedPageBreak/>
        <w:t>- Chương I: Những quy định chung, gồm 09 Điều (từ Điều 1 đến Điều 9). Nội dung mới chủ yếu là:</w:t>
      </w:r>
    </w:p>
    <w:p w14:paraId="60C16BBE" w14:textId="77777777" w:rsidR="00456FEE" w:rsidRPr="00C47BAD" w:rsidRDefault="00456FEE" w:rsidP="00DC0580">
      <w:pPr>
        <w:pStyle w:val="BalloonText"/>
        <w:widowControl w:val="0"/>
        <w:adjustRightInd w:val="0"/>
        <w:snapToGrid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Bổ sung thêm nội dung áp dụng Luật Điện lực đối với thẩm </w:t>
      </w:r>
      <w:r w:rsidRPr="00C47BAD">
        <w:rPr>
          <w:rFonts w:ascii="Times New Roman" w:hAnsi="Times New Roman" w:cs="Times New Roman"/>
          <w:color w:val="000000"/>
          <w:sz w:val="28"/>
          <w:szCs w:val="28"/>
        </w:rPr>
        <w:t>quyền chấp thuận chủ trương đầu tư dự án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đặc thù đầu tư xây dựng dự án, công trình điện lực khẩn cấp</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Lựa chọn nhà đầu tư đối với dự án đầu tư kinh doanh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về phát triển điện gió ngoài khơi</w:t>
      </w:r>
      <w:r w:rsidRPr="00C47BAD">
        <w:rPr>
          <w:rFonts w:ascii="Times New Roman" w:hAnsi="Times New Roman" w:cs="Times New Roman"/>
          <w:sz w:val="28"/>
          <w:szCs w:val="28"/>
        </w:rPr>
        <w:t xml:space="preserve"> tại Điều 3; </w:t>
      </w:r>
    </w:p>
    <w:p w14:paraId="774F3934" w14:textId="77777777" w:rsidR="00456FEE" w:rsidRPr="00C47BAD" w:rsidRDefault="00456FEE" w:rsidP="00DC0580">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Bổ sung nhiều định nghĩa mới tại Điều 4 (Giải thích từ ngữ) như: an toàn công trình thủy điện, an toàn điện, Biểu giá chi phí tránh được, Bù chéo giá điện, Cấp điện áp, Chi phí tránh được, Dịch vụ phụ trợ, Dự án điện lực, Điện năng lượng tái tạo, Điện năng lượng mới, Điện tự sản xuất, tự tiêu thụ, Các định nghĩa về giá và hợp đồng,… </w:t>
      </w:r>
    </w:p>
    <w:p w14:paraId="35527049" w14:textId="77777777" w:rsidR="00456FEE" w:rsidRPr="00C47BAD" w:rsidRDefault="00456FEE" w:rsidP="00DC0580">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Bổ sung các nội dung tại Nghị quyết số 55-NQ/TW tại Điều 5. Chính sách của Nhà nước về phát triển điện lực;</w:t>
      </w:r>
    </w:p>
    <w:p w14:paraId="36AA65AE" w14:textId="77777777" w:rsidR="00456FEE" w:rsidRPr="00C47BAD" w:rsidRDefault="00456FEE" w:rsidP="00DC0580">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w:t>
      </w:r>
      <w:r w:rsidRPr="00C47BAD">
        <w:rPr>
          <w:rFonts w:ascii="Times New Roman" w:eastAsia="Times New Roman" w:hAnsi="Times New Roman"/>
          <w:sz w:val="28"/>
          <w:szCs w:val="28"/>
        </w:rPr>
        <w:t>Bổ sung quy định ứng dụng khoa học, công nghệ và phát triển công nghiệp chế tạo trong lĩnh vực điện lực;</w:t>
      </w:r>
    </w:p>
    <w:p w14:paraId="420B90CA"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 Quy hoạch phát triển điện lực, phương án phát triển mạng lưới cấp điện và đầu tư xây dựng dự án điện lực, gồm 10 Điều (từ Điều 10 đến Điều 19). Nội dung mới là: </w:t>
      </w:r>
    </w:p>
    <w:p w14:paraId="50BE6149"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Bổ sung quy định về: Kế hoạch thực hiện quy hoạch phát triển điện lực, kế hoạch thực hiện quy hoạch tỉnh trong đó có nội dung về phương án phát triển mạng lưới cấp điện; bổ sung quy định về chủ trương đầu tư dự án điện lực; đầu tư xây dựng dự án, công trình điện lực khẩn cấp; về hợp đồng dự án nhà máy điện đầu tư theo phương thức đối tác công tư áp dụng loại hợp đồng xây dựng - kinh doanh - chuyển giao; Lựa chọn nhà đầu tư dự án đầu tư kinh doanh điện lực; Đấu thầu lựa chọn nhà đầu tư dự án đầu tư kinh doanh điện lực;</w:t>
      </w:r>
    </w:p>
    <w:p w14:paraId="32A7076F"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Hiệu chỉnh quy định chung về: đầu tư xây dựng dự án điện lực;</w:t>
      </w:r>
      <w:r w:rsidRPr="00C47BAD">
        <w:rPr>
          <w:rFonts w:ascii="Times New Roman" w:hAnsi="Times New Roman" w:cs="Times New Roman"/>
          <w:spacing w:val="2"/>
          <w:sz w:val="28"/>
          <w:szCs w:val="28"/>
        </w:rPr>
        <w:t xml:space="preserve"> p</w:t>
      </w:r>
      <w:r w:rsidRPr="00C47BAD">
        <w:rPr>
          <w:rFonts w:ascii="Times New Roman" w:hAnsi="Times New Roman" w:cs="Times New Roman"/>
          <w:spacing w:val="2"/>
          <w:sz w:val="28"/>
          <w:szCs w:val="28"/>
          <w:lang w:val="vi-VN"/>
        </w:rPr>
        <w:t>hát triển điện ở vùng nông thôn, đồng bào dân tộc thiểu số, miền núi, biên giới, hải đảo và vùng có điều kiện kinh tế - xã hội đặc biệt khó khăn</w:t>
      </w:r>
      <w:r w:rsidRPr="00C47BAD">
        <w:rPr>
          <w:rFonts w:ascii="Times New Roman" w:hAnsi="Times New Roman" w:cs="Times New Roman"/>
          <w:spacing w:val="2"/>
          <w:sz w:val="28"/>
          <w:szCs w:val="28"/>
        </w:rPr>
        <w:t>;</w:t>
      </w:r>
    </w:p>
    <w:p w14:paraId="4CD505F7"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lastRenderedPageBreak/>
        <w:t>+ Bỏ quy định về Lập, thẩm định, phê duyệt, công bố, tổ chức thực hiện và điều chỉnh quy hoạch phát triển điện lực; Chi phí lập, thẩm định, phê duyệt, công bố, điều chỉnh và đánh giá thực hiện quy hoạch phát triển điện lực và Sử dụng đất cho các công trình điện lực;</w:t>
      </w:r>
    </w:p>
    <w:p w14:paraId="2352AA00"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III: Phát triển điện năng lượng tái tạo, điện năng lượng mới, gồm 02 mục và 10 Điều như sau: </w:t>
      </w:r>
    </w:p>
    <w:p w14:paraId="3550909A"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Mục 1. Quy định về điện năng lượng tái tạo, điện năng lượng mới, gồm 06 Điều (từ Điều 20 đến Điều 25). Đây là nội dung hoàn toàn mới tại Luật Điện lực năm 2024, trong đó quy định các nội dung về Quy định chung trong phát triển điện năng lượng tái tạo, điện năng lượng mới; điều tra cơ bản về tài nguyên điện năng lượng tái tạo, điện năng lượng mới; phát triển điện tự sản xuất, tự tiêu thụ từ nguồn năng lượng tái tạo, năng lượng mới; cải tạo, sửa chữa, thay thế thiết bị nhà máy điện năng lượng tái tạo, điện năng lượng mới; tháo dỡ công trình thuộc dự án điện năng lượng tái tạo, điện năng lượng mới.</w:t>
      </w:r>
    </w:p>
    <w:p w14:paraId="6EC82C2C"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2.  Quy định về phát triển điện gió ngoài khơi, gồm 04 Điều (từ Điều 26 đến Điều 29). Đây là nội dung hoàn toàn mới tại Luật Điện lực năm 2024, trong đó quy định chung về phát triển điện gió ngoài khơi; khảo sát dự án; chấp thuận hoặc quyết định chủ trương đầu tư dự án điện gió ngoài khơi, lựa chọn nhà đầu tư dự án điện gió ngoài khơi.</w:t>
      </w:r>
    </w:p>
    <w:p w14:paraId="10539816"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IV: Giấy phép hoạt động điện lực, gồm 08 Điều (từ Điều 30 đến Điều 37): trong đó bổ sung một số nguyên tắc cấp giấy phép hoạt động điện lực phù hợp với tình hình thực tiễn trong lĩnh vực điện lực và quy định rõ các trường hợp thu hồi giấy phép hoạt động điện lực; bỏ thủ tục hành chính cấp giấy phép hoạt động điện lực đối với lĩnh vực tư vấn; đồng thời giao Chính phủ quy định chi tiết một số nội dung liên quan đến cấp giấy phép hoạt động điện lực như điều kiện cấp đối với từng loại hình; trình tự, thủ tục cấp và thu hồi…</w:t>
      </w:r>
    </w:p>
    <w:p w14:paraId="71FE4075"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V: Thị trường điện cạnh tranh và hoạt động mua bán điện, gồm 03 mục và 15 Điều như sau:</w:t>
      </w:r>
    </w:p>
    <w:p w14:paraId="41FBB8BF"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1. Thị trường điện cạnh tranh, gồm 06 Điều (từ Điều 38 đến Điề</w:t>
      </w:r>
      <w:r w:rsidR="007B72F5">
        <w:rPr>
          <w:rFonts w:ascii="Times New Roman" w:hAnsi="Times New Roman" w:cs="Times New Roman"/>
          <w:sz w:val="28"/>
          <w:szCs w:val="28"/>
        </w:rPr>
        <w:t>u 43)</w:t>
      </w:r>
      <w:r w:rsidRPr="00C47BAD">
        <w:rPr>
          <w:rFonts w:ascii="Times New Roman" w:hAnsi="Times New Roman" w:cs="Times New Roman"/>
          <w:sz w:val="28"/>
          <w:szCs w:val="28"/>
        </w:rPr>
        <w:t xml:space="preserve">, </w:t>
      </w:r>
      <w:r w:rsidRPr="00C47BAD">
        <w:rPr>
          <w:rFonts w:ascii="Times New Roman" w:hAnsi="Times New Roman" w:cs="Times New Roman"/>
          <w:sz w:val="28"/>
          <w:szCs w:val="28"/>
        </w:rPr>
        <w:lastRenderedPageBreak/>
        <w:t>trong đó bổ sung quy định về tạm ngừng, khôi phục hoạt động của thị trường điện giao ngay trong thị trường điện cạnh tranh các cấp độ;</w:t>
      </w:r>
    </w:p>
    <w:p w14:paraId="70EB551F"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2. Hợp đồng mua bán điện và hợp đồng cung cấp dịch vụ điện, gồm 06 Điều (từ Điều 44 đến Điều 49); trong đó bổ sung quy định về Hợp đồng kỳ hạn điện, hợp đồng quyền chọn mua điện hoặc bán điện, hợp đồng tương lai điện; đồng thời bổ sung các yêu cầu về việc liên kết lưới điện với nước ngoài thông qua hệ thống điện quốc gia; </w:t>
      </w:r>
    </w:p>
    <w:p w14:paraId="0F2D6905"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3. Giá điện và giá dịch vụ về điện, gồm 03 Điều (từ Điều 50 đến Điều 52),  trong đó sửa đổi, bổ sung một số nguyên tắc về xây dựng giá điện cho các loại hình như nhà máy điện năng lượng tái tạo nhỏ, dự án nguồn năng lượng tái tạo kết hợp với đầu tư hệ thống lưu trữ điện; đồng thời bổ sung phương pháp hướng dẫn và hình thức định giá đối với lưới điện truyền tải do các thành phần kinh tế ngoài nhà nước đầu tư xây dựng nhằm khuyến khích thành phần kinh tế ngoài nhà nước tham gia trong lĩnh vực truyền tải điện và bổ sung cơ chế giá điện hai thành phần (giá công suất, giá điện năng); </w:t>
      </w:r>
    </w:p>
    <w:p w14:paraId="5C22A7E0"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 Điều độ, vận hành hệ thống điện quốc gia, gồm 05 Điều (từ Điều 53 đến Điều 57). Nội dung mới là bổ sung các nguyên tắc, yêu cầu nhằm minh bạch, công bằng trong điều độ, vận hành hệ thống điện quốc gia, bổ sung quy định về quản lý nhu cầu điện để nâng cao tính hiệu quả trong sử dụng điện; đặc biệt bổ sung việc giao Chính phủ quy định các trường hợp xảy ra tình huống cấp bách đe dọa nghiêm trọng đến khả năng bảo đảm cung cấp điện và giao Bộ trưởng Bộ Công Thương quyết định việc huy động các nhà máy điện nhằm bảo đảm an ninh cung cấp điện trong tình huống này; </w:t>
      </w:r>
    </w:p>
    <w:p w14:paraId="388F2C05" w14:textId="77777777" w:rsidR="00456FEE" w:rsidRPr="00C47BAD" w:rsidRDefault="00456FEE" w:rsidP="00DC0580">
      <w:pPr>
        <w:pStyle w:val="BodyText2"/>
        <w:widowControl w:val="0"/>
        <w:adjustRightInd w:val="0"/>
        <w:snapToGrid w:val="0"/>
        <w:spacing w:before="120" w:line="360" w:lineRule="auto"/>
        <w:ind w:right="141" w:firstLine="567"/>
        <w:jc w:val="both"/>
      </w:pPr>
      <w:r w:rsidRPr="00C47BAD">
        <w:t>- Chương VII: Quyền và nghĩa vụ của đơn vị điện lực và khách hàng sử dụng điện, gồm 09 Điều (từ Điều 58 đến Điều 66); trong đó,</w:t>
      </w:r>
      <w:r w:rsidRPr="00C47BAD">
        <w:rPr>
          <w:lang w:val="vi-VN"/>
        </w:rPr>
        <w:t xml:space="preserve"> bổ sung </w:t>
      </w:r>
      <w:r w:rsidRPr="00C47BAD">
        <w:t>q</w:t>
      </w:r>
      <w:r w:rsidRPr="00C47BAD">
        <w:rPr>
          <w:lang w:val="vi-VN"/>
        </w:rPr>
        <w:t xml:space="preserve">uyền và nghĩa vụ của đơn vị điện lực </w:t>
      </w:r>
      <w:r w:rsidRPr="00C47BAD">
        <w:t xml:space="preserve">được cấp giấy phép hoạt động điện lực và quyền và nghĩa vụ của đơn vị điều hành giao dịch thị trường điện, đồng thời bỏ quyền và nghĩa vụ của đơn vị tư vấn chuyên ngành điện lực; </w:t>
      </w:r>
    </w:p>
    <w:p w14:paraId="67988804"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VIII: Bảo vệ công trình điện lực và an toàn trong lĩnh vực điện </w:t>
      </w:r>
      <w:r w:rsidRPr="00C47BAD">
        <w:rPr>
          <w:rFonts w:ascii="Times New Roman" w:hAnsi="Times New Roman" w:cs="Times New Roman"/>
          <w:sz w:val="28"/>
          <w:szCs w:val="28"/>
        </w:rPr>
        <w:lastRenderedPageBreak/>
        <w:t xml:space="preserve">lực, gồm 02 mục và 12 Điều như sau: </w:t>
      </w:r>
    </w:p>
    <w:p w14:paraId="61A6F73D" w14:textId="77777777" w:rsidR="00456FEE" w:rsidRPr="00C47BAD"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1. Bảo vệ công trình điện lực và an toàn điện, gồm 08 Điều (từ Điều 67 đến Điều 74) và Mục 2. An toàn công trình thủy điện, gồm 04 Điều (từ Điều 75 đến Điều 78); trong đó sửa đổi, bổ sung một số nội dung về thẩm quyền của Bộ trưởng Công Thương trong quy định về bảo vệ an toàn đường dây dẫn điện trên không; bổ sung nội dung về trách nhiệm của chủ đầu tư hoặc đơn vị quản lý vận hành trạm điện trong quy định chung về an toàn điện; sửa đổi, bổ sung một số nội dung an toàn trong phát điện; truyền tải điện; phân phối điện; sử dụng điện cho sản xuất; sử dụng điện cho sinh hoạt, dịch vụ; an toàn ở nông thôn, miền núi, biên giới, hải đảo; bổ sung quy định chung về an toàn điện; kiểm định an toàn kỹ thuật thiết bị, dụng cụ điện; bổ sung 01 mục riêng quy định về an toàn công trình thủy điện; </w:t>
      </w:r>
    </w:p>
    <w:p w14:paraId="6D0EC6D3" w14:textId="679037DD" w:rsidR="002F6D50" w:rsidRPr="00D81A37" w:rsidRDefault="00456FEE" w:rsidP="00DC0580">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IX: Điều khoản thi hành, gồm 03 Điều (từ Điều 79 đến Điều 81), trong đó bổ sung các nội dung về sửa đổi, bổ sung một số điều, khoản của các luật liên quan như Luật Xây dựng, Luật Tài nguyên, môi trường biển và hải đảo và Luật Giá, đồng thời bổ sung 01 Điều quy định chuyển tiếp nhằm bảo đảm việc áp dụng pháp luật được thống nhất, không có khoảng trống pháp lý khi Luật này có hiệu lực và Luật Điện lực năm 2004 hết hiệu lự</w:t>
      </w:r>
      <w:r w:rsidR="00DC0580">
        <w:rPr>
          <w:rFonts w:ascii="Times New Roman" w:hAnsi="Times New Roman" w:cs="Times New Roman"/>
          <w:sz w:val="28"/>
          <w:szCs w:val="28"/>
        </w:rPr>
        <w:t>c</w:t>
      </w:r>
      <w:r w:rsidR="002F6D50">
        <w:rPr>
          <w:rFonts w:ascii="Times New Roman" w:hAnsi="Times New Roman" w:cs="Times New Roman"/>
          <w:sz w:val="28"/>
          <w:szCs w:val="28"/>
        </w:rPr>
        <w:t>.</w:t>
      </w:r>
      <w:r w:rsidR="00FC7BDE">
        <w:rPr>
          <w:rFonts w:ascii="Times New Roman" w:hAnsi="Times New Roman" w:cs="Times New Roman"/>
          <w:sz w:val="28"/>
          <w:szCs w:val="28"/>
        </w:rPr>
        <w:t>/.</w:t>
      </w:r>
    </w:p>
    <w:p w14:paraId="462BEF13" w14:textId="21003210" w:rsidR="00515BA1" w:rsidRDefault="00DC0580" w:rsidP="00FC7BDE">
      <w:pPr>
        <w:pStyle w:val="ListParagraph"/>
        <w:widowControl w:val="0"/>
        <w:spacing w:before="120" w:after="120" w:line="360" w:lineRule="auto"/>
        <w:ind w:left="0" w:right="141" w:firstLine="567"/>
        <w:contextualSpacing w:val="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F8D6396" wp14:editId="56C3A8F4">
                <wp:simplePos x="0" y="0"/>
                <wp:positionH relativeFrom="column">
                  <wp:posOffset>558165</wp:posOffset>
                </wp:positionH>
                <wp:positionV relativeFrom="paragraph">
                  <wp:posOffset>172085</wp:posOffset>
                </wp:positionV>
                <wp:extent cx="44862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486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FAE5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13.55pt" to="39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X3xgEAANEDAAAOAAAAZHJzL2Uyb0RvYy54bWysU01v2zAMvQ/YfxB0X+wEbdcZcXpIsV6G&#10;LVi73RWZigXoC5QWO/9+lJx4w1YMaLGLYEp8j3yP9PputIYdAaP2ruXLRc0ZOOk77Q4t//b08d0t&#10;ZzEJ1wnjHbT8BJHfbd6+WQ+hgZXvvekAGZG42Ayh5X1KoamqKHuwIi58AEePyqMViUI8VB2Kgdit&#10;qVZ1fVMNHruAXkKMdHs/PfJN4VcKZPqiVITETMupt1ROLOc+n9VmLZoDitBreW5DvKILK7SjojPV&#10;vUiC/UD9F5XVEn30Ki2kt5VXSksoGkjNsv5DzWMvAhQtZE4Ms03x/9HKz8cdMt3R7DhzwtKIHhMK&#10;fegT23rnyECPbJl9GkJsKH3rdniOYthhFj0qtEwZHb5nmnxDwthYXD7NLsOYmKTLq6vbm9X7a84k&#10;vS0/1NdlCtVEk8EBY3oAb1n+aLnRLpsgGnH8FBOVptRLCgW5ramR8pVOBnKycV9BkTAqOLVUVgq2&#10;BtlR0DIIKcGlIoz4SnaGKW3MDKxL2X8Cz/kZCmXdXgKeEaWyd2kGW+08Plc9jZeW1ZR/cWDSnS3Y&#10;++5URlSsob0pjp13PC/m73GB//oTNz8BAAD//wMAUEsDBBQABgAIAAAAIQB6V6Mz4AAAAAgBAAAP&#10;AAAAZHJzL2Rvd25yZXYueG1sTI9BT4NAFITvJv0Pm2fixdgFbEqLLE1j1EM9tdVEbw/2CaTsW8Ju&#10;Kf5715MeJzOZ+SbfTKYTIw2utawgnkcgiCurW64VvB2f71YgnEfW2FkmBd/kYFPMrnLMtL3wnsaD&#10;r0UoYZehgsb7PpPSVQ0ZdHPbEwfvyw4GfZBDLfWAl1BuOplE0VIabDksNNjTY0PV6XA2Cj6ddU/v&#10;u3J8Oe13E96++uSj0krdXE/bBxCeJv8Xhl/8gA5FYCrtmbUTnYJVug5JBUkagwh+ul4sQJQK7qMY&#10;ZJHL/weKHwAAAP//AwBQSwECLQAUAAYACAAAACEAtoM4kv4AAADhAQAAEwAAAAAAAAAAAAAAAAAA&#10;AAAAW0NvbnRlbnRfVHlwZXNdLnhtbFBLAQItABQABgAIAAAAIQA4/SH/1gAAAJQBAAALAAAAAAAA&#10;AAAAAAAAAC8BAABfcmVscy8ucmVsc1BLAQItABQABgAIAAAAIQBpViX3xgEAANEDAAAOAAAAAAAA&#10;AAAAAAAAAC4CAABkcnMvZTJvRG9jLnhtbFBLAQItABQABgAIAAAAIQB6V6Mz4AAAAAgBAAAPAAAA&#10;AAAAAAAAAAAAACAEAABkcnMvZG93bnJldi54bWxQSwUGAAAAAAQABADzAAAALQUAAAAA&#10;" strokecolor="#5b9bd5 [3204]" strokeweight=".5pt">
                <v:stroke joinstyle="miter"/>
              </v:line>
            </w:pict>
          </mc:Fallback>
        </mc:AlternateContent>
      </w:r>
    </w:p>
    <w:sectPr w:rsidR="00515BA1" w:rsidSect="00456FEE">
      <w:headerReference w:type="default" r:id="rId11"/>
      <w:pgSz w:w="11907" w:h="16840" w:code="9"/>
      <w:pgMar w:top="1134" w:right="1134" w:bottom="1134" w:left="1701"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087A" w14:textId="77777777" w:rsidR="000C24B8" w:rsidRDefault="000C24B8" w:rsidP="00032E0B">
      <w:pPr>
        <w:spacing w:after="0" w:line="240" w:lineRule="auto"/>
      </w:pPr>
      <w:r>
        <w:separator/>
      </w:r>
    </w:p>
  </w:endnote>
  <w:endnote w:type="continuationSeparator" w:id="0">
    <w:p w14:paraId="2843D6B3" w14:textId="77777777" w:rsidR="000C24B8" w:rsidRDefault="000C24B8" w:rsidP="0003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E8821" w14:textId="77777777" w:rsidR="000C24B8" w:rsidRDefault="000C24B8" w:rsidP="00032E0B">
      <w:pPr>
        <w:spacing w:after="0" w:line="240" w:lineRule="auto"/>
      </w:pPr>
      <w:r>
        <w:separator/>
      </w:r>
    </w:p>
  </w:footnote>
  <w:footnote w:type="continuationSeparator" w:id="0">
    <w:p w14:paraId="7D1958D4" w14:textId="77777777" w:rsidR="000C24B8" w:rsidRDefault="000C24B8" w:rsidP="00032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5884"/>
      <w:docPartObj>
        <w:docPartGallery w:val="Page Numbers (Top of Page)"/>
        <w:docPartUnique/>
      </w:docPartObj>
    </w:sdtPr>
    <w:sdtEndPr>
      <w:rPr>
        <w:noProof/>
      </w:rPr>
    </w:sdtEndPr>
    <w:sdtContent>
      <w:p w14:paraId="7634D6A3" w14:textId="75831835" w:rsidR="00FC7BDE" w:rsidRDefault="00FC7BDE">
        <w:pPr>
          <w:pStyle w:val="Header"/>
          <w:jc w:val="center"/>
        </w:pPr>
        <w:r>
          <w:fldChar w:fldCharType="begin"/>
        </w:r>
        <w:r>
          <w:instrText xml:space="preserve"> PAGE   \* MERGEFORMAT </w:instrText>
        </w:r>
        <w:r>
          <w:fldChar w:fldCharType="separate"/>
        </w:r>
        <w:r w:rsidR="00C01E9C">
          <w:rPr>
            <w:noProof/>
          </w:rPr>
          <w:t>6</w:t>
        </w:r>
        <w:r>
          <w:rPr>
            <w:noProof/>
          </w:rPr>
          <w:fldChar w:fldCharType="end"/>
        </w:r>
      </w:p>
    </w:sdtContent>
  </w:sdt>
  <w:p w14:paraId="1EB2E7E4" w14:textId="6F3242AD" w:rsidR="00070C9B" w:rsidRDefault="00070C9B" w:rsidP="00456F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781"/>
    <w:multiLevelType w:val="hybridMultilevel"/>
    <w:tmpl w:val="24D8DFC2"/>
    <w:lvl w:ilvl="0" w:tplc="78666E0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5861FC3"/>
    <w:multiLevelType w:val="hybridMultilevel"/>
    <w:tmpl w:val="7B62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A7B31"/>
    <w:multiLevelType w:val="hybridMultilevel"/>
    <w:tmpl w:val="D7ECFB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A0"/>
    <w:rsid w:val="00023A05"/>
    <w:rsid w:val="00032E0B"/>
    <w:rsid w:val="0004602C"/>
    <w:rsid w:val="0005371B"/>
    <w:rsid w:val="00070C9B"/>
    <w:rsid w:val="00094111"/>
    <w:rsid w:val="000971D7"/>
    <w:rsid w:val="000A3382"/>
    <w:rsid w:val="000C24B8"/>
    <w:rsid w:val="000C76FC"/>
    <w:rsid w:val="000D187E"/>
    <w:rsid w:val="00102946"/>
    <w:rsid w:val="001175FB"/>
    <w:rsid w:val="00132D87"/>
    <w:rsid w:val="00182D0A"/>
    <w:rsid w:val="001A5ECC"/>
    <w:rsid w:val="001B32AF"/>
    <w:rsid w:val="001B7B7D"/>
    <w:rsid w:val="00202AFB"/>
    <w:rsid w:val="00246E36"/>
    <w:rsid w:val="00257872"/>
    <w:rsid w:val="002B3F4F"/>
    <w:rsid w:val="002F6D50"/>
    <w:rsid w:val="00315336"/>
    <w:rsid w:val="0032106C"/>
    <w:rsid w:val="003425D2"/>
    <w:rsid w:val="00365970"/>
    <w:rsid w:val="00374510"/>
    <w:rsid w:val="0039050C"/>
    <w:rsid w:val="003A0C3A"/>
    <w:rsid w:val="003C1048"/>
    <w:rsid w:val="003E51FC"/>
    <w:rsid w:val="00411F28"/>
    <w:rsid w:val="00422787"/>
    <w:rsid w:val="00456FEE"/>
    <w:rsid w:val="00462784"/>
    <w:rsid w:val="00474454"/>
    <w:rsid w:val="00490DDC"/>
    <w:rsid w:val="00493BBB"/>
    <w:rsid w:val="004E7DD1"/>
    <w:rsid w:val="00512FBA"/>
    <w:rsid w:val="00515BA1"/>
    <w:rsid w:val="00560B24"/>
    <w:rsid w:val="005821C6"/>
    <w:rsid w:val="00590277"/>
    <w:rsid w:val="00592A74"/>
    <w:rsid w:val="006234B5"/>
    <w:rsid w:val="006441BB"/>
    <w:rsid w:val="0064742A"/>
    <w:rsid w:val="0069586E"/>
    <w:rsid w:val="006A0FA0"/>
    <w:rsid w:val="006B50CD"/>
    <w:rsid w:val="006C0E60"/>
    <w:rsid w:val="006C76BE"/>
    <w:rsid w:val="007A13CA"/>
    <w:rsid w:val="007B72F5"/>
    <w:rsid w:val="007C5098"/>
    <w:rsid w:val="007F3DA7"/>
    <w:rsid w:val="007F6BC4"/>
    <w:rsid w:val="008050FA"/>
    <w:rsid w:val="00807554"/>
    <w:rsid w:val="00874979"/>
    <w:rsid w:val="00884704"/>
    <w:rsid w:val="008B785E"/>
    <w:rsid w:val="008F06D7"/>
    <w:rsid w:val="00931882"/>
    <w:rsid w:val="00945632"/>
    <w:rsid w:val="00991044"/>
    <w:rsid w:val="00995EFE"/>
    <w:rsid w:val="009F62EE"/>
    <w:rsid w:val="00A00A90"/>
    <w:rsid w:val="00A01DAF"/>
    <w:rsid w:val="00A234F1"/>
    <w:rsid w:val="00A3316F"/>
    <w:rsid w:val="00A34D0A"/>
    <w:rsid w:val="00A4453B"/>
    <w:rsid w:val="00A50F01"/>
    <w:rsid w:val="00A7066B"/>
    <w:rsid w:val="00A762E2"/>
    <w:rsid w:val="00A77F1F"/>
    <w:rsid w:val="00A836C4"/>
    <w:rsid w:val="00AB0C3E"/>
    <w:rsid w:val="00AC0450"/>
    <w:rsid w:val="00AC79A9"/>
    <w:rsid w:val="00AD5B19"/>
    <w:rsid w:val="00AF5B2E"/>
    <w:rsid w:val="00B027F9"/>
    <w:rsid w:val="00B132F0"/>
    <w:rsid w:val="00B35F40"/>
    <w:rsid w:val="00B42FF2"/>
    <w:rsid w:val="00B835A0"/>
    <w:rsid w:val="00B91A89"/>
    <w:rsid w:val="00BB7F0E"/>
    <w:rsid w:val="00BF23C7"/>
    <w:rsid w:val="00C01E9C"/>
    <w:rsid w:val="00C05165"/>
    <w:rsid w:val="00C367AE"/>
    <w:rsid w:val="00C47BAD"/>
    <w:rsid w:val="00C6559A"/>
    <w:rsid w:val="00CC04DD"/>
    <w:rsid w:val="00CE369A"/>
    <w:rsid w:val="00CE3847"/>
    <w:rsid w:val="00D23BEB"/>
    <w:rsid w:val="00D2433B"/>
    <w:rsid w:val="00D4062B"/>
    <w:rsid w:val="00DC0580"/>
    <w:rsid w:val="00E160AA"/>
    <w:rsid w:val="00E24C1A"/>
    <w:rsid w:val="00E45002"/>
    <w:rsid w:val="00EA0B99"/>
    <w:rsid w:val="00EE4471"/>
    <w:rsid w:val="00F54D12"/>
    <w:rsid w:val="00F67488"/>
    <w:rsid w:val="00FC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68F"/>
  <w15:chartTrackingRefBased/>
  <w15:docId w15:val="{F9A92F2C-4D08-4990-B2A1-209BA77E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8050F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A0"/>
    <w:pPr>
      <w:ind w:left="720"/>
      <w:contextualSpacing/>
    </w:pPr>
  </w:style>
  <w:style w:type="paragraph" w:styleId="Header">
    <w:name w:val="header"/>
    <w:basedOn w:val="Normal"/>
    <w:link w:val="HeaderChar"/>
    <w:uiPriority w:val="99"/>
    <w:unhideWhenUsed/>
    <w:rsid w:val="00032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0B"/>
  </w:style>
  <w:style w:type="paragraph" w:styleId="Footer">
    <w:name w:val="footer"/>
    <w:basedOn w:val="Normal"/>
    <w:link w:val="FooterChar"/>
    <w:uiPriority w:val="99"/>
    <w:unhideWhenUsed/>
    <w:rsid w:val="00032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0B"/>
  </w:style>
  <w:style w:type="paragraph" w:styleId="BodyText2">
    <w:name w:val="Body Text 2"/>
    <w:basedOn w:val="Normal"/>
    <w:link w:val="BodyText2Char"/>
    <w:rsid w:val="0069586E"/>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9586E"/>
    <w:rPr>
      <w:rFonts w:ascii="Times New Roman" w:eastAsia="Times New Roman" w:hAnsi="Times New Roman" w:cs="Times New Roman"/>
      <w:sz w:val="28"/>
      <w:szCs w:val="28"/>
    </w:rPr>
  </w:style>
  <w:style w:type="paragraph" w:styleId="BalloonText">
    <w:name w:val="Balloon Text"/>
    <w:basedOn w:val="Normal"/>
    <w:link w:val="BalloonTextChar"/>
    <w:unhideWhenUsed/>
    <w:rsid w:val="00A34D0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34D0A"/>
    <w:rPr>
      <w:rFonts w:ascii="Segoe UI" w:eastAsia="Times New Roman" w:hAnsi="Segoe UI" w:cs="Segoe UI"/>
      <w:sz w:val="18"/>
      <w:szCs w:val="18"/>
    </w:rPr>
  </w:style>
  <w:style w:type="paragraph" w:styleId="CommentText">
    <w:name w:val="annotation text"/>
    <w:basedOn w:val="Normal"/>
    <w:link w:val="CommentTextChar"/>
    <w:uiPriority w:val="99"/>
    <w:unhideWhenUsed/>
    <w:qFormat/>
    <w:rsid w:val="00A34D0A"/>
    <w:pPr>
      <w:spacing w:before="120" w:after="120" w:line="240" w:lineRule="auto"/>
      <w:ind w:firstLine="567"/>
      <w:jc w:val="both"/>
    </w:pPr>
    <w:rPr>
      <w:rFonts w:ascii="Arial" w:eastAsia="Arial" w:hAnsi="Arial" w:cs="Times New Roman"/>
      <w:sz w:val="20"/>
      <w:szCs w:val="20"/>
      <w:lang w:val="vi-VN"/>
    </w:rPr>
  </w:style>
  <w:style w:type="character" w:customStyle="1" w:styleId="CommentTextChar">
    <w:name w:val="Comment Text Char"/>
    <w:basedOn w:val="DefaultParagraphFont"/>
    <w:link w:val="CommentText"/>
    <w:uiPriority w:val="99"/>
    <w:qFormat/>
    <w:rsid w:val="00A34D0A"/>
    <w:rPr>
      <w:rFonts w:ascii="Arial" w:eastAsia="Arial" w:hAnsi="Arial" w:cs="Times New Roman"/>
      <w:sz w:val="20"/>
      <w:szCs w:val="20"/>
      <w:lang w:val="vi-VN"/>
    </w:rPr>
  </w:style>
  <w:style w:type="character" w:customStyle="1" w:styleId="Heading4Char">
    <w:name w:val="Heading 4 Char"/>
    <w:basedOn w:val="DefaultParagraphFont"/>
    <w:link w:val="Heading4"/>
    <w:uiPriority w:val="9"/>
    <w:rsid w:val="008050FA"/>
    <w:rPr>
      <w:rFonts w:asciiTheme="majorHAnsi" w:eastAsiaTheme="majorEastAsia" w:hAnsiTheme="majorHAnsi" w:cstheme="majorBidi"/>
      <w:i/>
      <w:iCs/>
      <w:color w:val="2E74B5" w:themeColor="accent1" w:themeShade="BF"/>
      <w:sz w:val="24"/>
      <w:szCs w:val="24"/>
      <w14:ligatures w14:val="standardContextual"/>
    </w:rPr>
  </w:style>
  <w:style w:type="paragraph" w:styleId="FootnoteText">
    <w:name w:val="footnote text"/>
    <w:basedOn w:val="Normal"/>
    <w:link w:val="FootnoteTextChar"/>
    <w:uiPriority w:val="99"/>
    <w:semiHidden/>
    <w:unhideWhenUsed/>
    <w:rsid w:val="0064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42A"/>
    <w:rPr>
      <w:sz w:val="20"/>
      <w:szCs w:val="20"/>
    </w:rPr>
  </w:style>
  <w:style w:type="character" w:styleId="FootnoteReference">
    <w:name w:val="footnote reference"/>
    <w:basedOn w:val="DefaultParagraphFont"/>
    <w:uiPriority w:val="99"/>
    <w:semiHidden/>
    <w:unhideWhenUsed/>
    <w:rsid w:val="0064742A"/>
    <w:rPr>
      <w:vertAlign w:val="superscript"/>
    </w:rPr>
  </w:style>
  <w:style w:type="character" w:customStyle="1" w:styleId="uv3um">
    <w:name w:val="uv3um"/>
    <w:basedOn w:val="DefaultParagraphFont"/>
    <w:rsid w:val="00DC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D393-5CD0-417B-BDC7-4F4C2B131C46}">
  <ds:schemaRefs>
    <ds:schemaRef ds:uri="http://schemas.microsoft.com/sharepoint/v3/contenttype/forms"/>
  </ds:schemaRefs>
</ds:datastoreItem>
</file>

<file path=customXml/itemProps2.xml><?xml version="1.0" encoding="utf-8"?>
<ds:datastoreItem xmlns:ds="http://schemas.openxmlformats.org/officeDocument/2006/customXml" ds:itemID="{7F1A2C10-9629-4564-9470-E74B2F2765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EAECDD-7801-4365-98FA-33598B310008}"/>
</file>

<file path=customXml/itemProps4.xml><?xml version="1.0" encoding="utf-8"?>
<ds:datastoreItem xmlns:ds="http://schemas.openxmlformats.org/officeDocument/2006/customXml" ds:itemID="{BA9F3088-786E-4049-959D-41163C10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Tra My</dc:creator>
  <cp:keywords/>
  <dc:description/>
  <cp:lastModifiedBy>Trinh Viet Ha (PC)</cp:lastModifiedBy>
  <cp:revision>3</cp:revision>
  <cp:lastPrinted>2025-08-08T09:37:00Z</cp:lastPrinted>
  <dcterms:created xsi:type="dcterms:W3CDTF">2025-08-08T08:48:00Z</dcterms:created>
  <dcterms:modified xsi:type="dcterms:W3CDTF">2025-08-08T09:37:00Z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